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74E" w:rsidRDefault="00F7574E" w:rsidP="00F7574E">
      <w:pPr>
        <w:rPr>
          <w:b/>
          <w:bCs/>
        </w:rPr>
      </w:pPr>
      <w:bookmarkStart w:id="0" w:name="_GoBack"/>
      <w:bookmarkEnd w:id="0"/>
      <w:r>
        <w:rPr>
          <w:b/>
          <w:bCs/>
        </w:rPr>
        <w:t>Estratti da 179/2012 testo vigente dopo le modifiche intervenute con legge 132/2015</w:t>
      </w:r>
    </w:p>
    <w:p w:rsidR="00F7574E" w:rsidRPr="00F7574E" w:rsidRDefault="00F7574E" w:rsidP="00F7574E">
      <w:r w:rsidRPr="00F7574E">
        <w:rPr>
          <w:b/>
          <w:bCs/>
        </w:rPr>
        <w:t xml:space="preserve">Art. 16-ter. Pubblici elenchi per notificazioni e comunicazioni </w:t>
      </w:r>
    </w:p>
    <w:p w:rsidR="00000000" w:rsidRPr="00F7574E" w:rsidRDefault="00F7574E" w:rsidP="00F7574E">
      <w:pPr>
        <w:numPr>
          <w:ilvl w:val="0"/>
          <w:numId w:val="1"/>
        </w:numPr>
      </w:pPr>
      <w:r w:rsidRPr="00F7574E">
        <w:t xml:space="preserve">A decorrere dal 15 dicembre 2013, ai fini della notificazione e comunicazione degli atti in materia civile, penale, amministrativa e stragiudiziale si intendono per pubblici elenchi </w:t>
      </w:r>
      <w:r w:rsidRPr="00F7574E">
        <w:t>quelli previsti dagli articoli 4 e 16, comma 12, del presente decreto; dall'articolo 16, comma 6, del decreto-legge 29 novembre 2008, n. 185, convertito con modificazioni dalla legge 28 gennaio 2009, n. 2, dall'articolo 6-bis del decreto legislativo 7 marz</w:t>
      </w:r>
      <w:r w:rsidRPr="00F7574E">
        <w:t xml:space="preserve">o 2005, n. 82, nonché il registro generale degli indirizzi elettronici, gestito dal Ministero della giustizia. </w:t>
      </w:r>
    </w:p>
    <w:p w:rsidR="00F7574E" w:rsidRPr="00F7574E" w:rsidRDefault="00F7574E" w:rsidP="00F7574E">
      <w:r w:rsidRPr="00F7574E">
        <w:rPr>
          <w:b/>
          <w:bCs/>
        </w:rPr>
        <w:t xml:space="preserve">Art. 16-sexies </w:t>
      </w:r>
    </w:p>
    <w:p w:rsidR="00F7574E" w:rsidRPr="00F7574E" w:rsidRDefault="00F7574E" w:rsidP="00F7574E">
      <w:r w:rsidRPr="00F7574E">
        <w:rPr>
          <w:b/>
          <w:bCs/>
        </w:rPr>
        <w:t xml:space="preserve">Domicilio digitale </w:t>
      </w:r>
    </w:p>
    <w:p w:rsidR="00000000" w:rsidRPr="00F7574E" w:rsidRDefault="00F7574E" w:rsidP="00F7574E">
      <w:pPr>
        <w:numPr>
          <w:ilvl w:val="0"/>
          <w:numId w:val="2"/>
        </w:numPr>
      </w:pPr>
      <w:r w:rsidRPr="00F7574E">
        <w:t>Salvo quanto previsto dall’art. 366 del codice di procedura civile, quando la legge prevede che le notificazioni degli atti in materia ci</w:t>
      </w:r>
      <w:r w:rsidRPr="00F7574E">
        <w:t>vile al difensore siano eseguite, ad istanza di parte, presso la cancelleria dell’ufficio giudiziario, alla notificazione con le predette modalità può procedersi esclusivamente quando non sia possibile, per causa imputabile al destinatario, la notificazion</w:t>
      </w:r>
      <w:r w:rsidRPr="00F7574E">
        <w:t>e presso l’indirizzo di posta elettronica certificata, risultante dagli elenchi di cui all’ art. 6</w:t>
      </w:r>
      <w:r w:rsidRPr="00F7574E">
        <w:rPr>
          <w:i/>
          <w:iCs/>
        </w:rPr>
        <w:t xml:space="preserve">-bis </w:t>
      </w:r>
      <w:r w:rsidRPr="00F7574E">
        <w:t>del decreto legislativo 7 ma</w:t>
      </w:r>
      <w:r w:rsidRPr="00F7574E">
        <w:t xml:space="preserve">rzo 2005, n. 82, nonché dal registro generale degli indirizzi elettronici, gestito dal ministero della giustizia. </w:t>
      </w:r>
    </w:p>
    <w:p w:rsidR="00F7574E" w:rsidRPr="00F7574E" w:rsidRDefault="00F7574E" w:rsidP="00F7574E">
      <w:r w:rsidRPr="00F7574E">
        <w:rPr>
          <w:b/>
          <w:bCs/>
        </w:rPr>
        <w:t xml:space="preserve">Art. 16-undecies </w:t>
      </w:r>
    </w:p>
    <w:p w:rsidR="00F7574E" w:rsidRPr="00F7574E" w:rsidRDefault="00F7574E" w:rsidP="00F7574E">
      <w:r w:rsidRPr="00F7574E">
        <w:rPr>
          <w:b/>
          <w:bCs/>
        </w:rPr>
        <w:t xml:space="preserve">Modalità dell’attestazione di conformità </w:t>
      </w:r>
    </w:p>
    <w:p w:rsidR="00F7574E" w:rsidRPr="00F7574E" w:rsidRDefault="00F7574E" w:rsidP="00F7574E">
      <w:r w:rsidRPr="00F7574E">
        <w:t xml:space="preserve">1. Quando l'attestazione di conformità prevista dalle disposizioni della presente sezione, dal codice di procedura civile e dalla legge 21 gennaio 1994, n. 53, si riferisce ad una copia analogica, l'attestazione stessa è apposta in calce o a margine della copia o su foglio separato, che sia però congiunto materialmente alla medesima. </w:t>
      </w:r>
    </w:p>
    <w:p w:rsidR="00F7574E" w:rsidRPr="00F7574E" w:rsidRDefault="00F7574E" w:rsidP="00F7574E">
      <w:r w:rsidRPr="00F7574E">
        <w:t xml:space="preserve">2. Quando l'attestazione di conformità si riferisce ad una copia informatica, l'attestazione stessa è apposta nel medesimo documento informatico. </w:t>
      </w:r>
    </w:p>
    <w:p w:rsidR="00F7574E" w:rsidRPr="00F7574E" w:rsidRDefault="00F7574E" w:rsidP="00F7574E">
      <w:r w:rsidRPr="00F7574E">
        <w:t xml:space="preserve">3. Nel caso previsto dal comma 2, l'attestazione di conformità può alternativamente essere apposta su un documento informatico separato e l'individuazione della copia cui si riferisce ha luogo esclusivamente secondo le modalità stabilite nelle specifiche tecniche stabilite dal responsabile per i sistemi informativi automatizzati del Ministero della giustizia. Se la copia informatica è destinata alla notifica, l'attestazione di conformità è inserita nella relazione di notificazione. </w:t>
      </w:r>
    </w:p>
    <w:p w:rsidR="00F7574E" w:rsidRPr="00F7574E" w:rsidRDefault="00F7574E" w:rsidP="00F7574E">
      <w:r w:rsidRPr="00F7574E">
        <w:t xml:space="preserve">3-bis. I soggetti di cui all'articolo 16-decies, comma 1, che compiono le attestazioni di conformità previste dalle disposizioni della presente sezione, dal codice di procedura civile e dalla legge 21 gennaio 1994, n. 53, sono considerati pubblici ufficiali ad ogni effetto. </w:t>
      </w:r>
    </w:p>
    <w:p w:rsidR="000C3125" w:rsidRDefault="000C3125"/>
    <w:sectPr w:rsidR="000C3125">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DC5F2C"/>
    <w:multiLevelType w:val="hybridMultilevel"/>
    <w:tmpl w:val="CC78D490"/>
    <w:lvl w:ilvl="0" w:tplc="2676DB3E">
      <w:start w:val="1"/>
      <w:numFmt w:val="decimal"/>
      <w:lvlText w:val="%1."/>
      <w:lvlJc w:val="left"/>
      <w:pPr>
        <w:tabs>
          <w:tab w:val="num" w:pos="720"/>
        </w:tabs>
        <w:ind w:left="720" w:hanging="360"/>
      </w:pPr>
    </w:lvl>
    <w:lvl w:ilvl="1" w:tplc="652233E2" w:tentative="1">
      <w:start w:val="1"/>
      <w:numFmt w:val="decimal"/>
      <w:lvlText w:val="%2."/>
      <w:lvlJc w:val="left"/>
      <w:pPr>
        <w:tabs>
          <w:tab w:val="num" w:pos="1440"/>
        </w:tabs>
        <w:ind w:left="1440" w:hanging="360"/>
      </w:pPr>
    </w:lvl>
    <w:lvl w:ilvl="2" w:tplc="C49AB9A6" w:tentative="1">
      <w:start w:val="1"/>
      <w:numFmt w:val="decimal"/>
      <w:lvlText w:val="%3."/>
      <w:lvlJc w:val="left"/>
      <w:pPr>
        <w:tabs>
          <w:tab w:val="num" w:pos="2160"/>
        </w:tabs>
        <w:ind w:left="2160" w:hanging="360"/>
      </w:pPr>
    </w:lvl>
    <w:lvl w:ilvl="3" w:tplc="9FA0479C" w:tentative="1">
      <w:start w:val="1"/>
      <w:numFmt w:val="decimal"/>
      <w:lvlText w:val="%4."/>
      <w:lvlJc w:val="left"/>
      <w:pPr>
        <w:tabs>
          <w:tab w:val="num" w:pos="2880"/>
        </w:tabs>
        <w:ind w:left="2880" w:hanging="360"/>
      </w:pPr>
    </w:lvl>
    <w:lvl w:ilvl="4" w:tplc="B6EE491C" w:tentative="1">
      <w:start w:val="1"/>
      <w:numFmt w:val="decimal"/>
      <w:lvlText w:val="%5."/>
      <w:lvlJc w:val="left"/>
      <w:pPr>
        <w:tabs>
          <w:tab w:val="num" w:pos="3600"/>
        </w:tabs>
        <w:ind w:left="3600" w:hanging="360"/>
      </w:pPr>
    </w:lvl>
    <w:lvl w:ilvl="5" w:tplc="3710E40E" w:tentative="1">
      <w:start w:val="1"/>
      <w:numFmt w:val="decimal"/>
      <w:lvlText w:val="%6."/>
      <w:lvlJc w:val="left"/>
      <w:pPr>
        <w:tabs>
          <w:tab w:val="num" w:pos="4320"/>
        </w:tabs>
        <w:ind w:left="4320" w:hanging="360"/>
      </w:pPr>
    </w:lvl>
    <w:lvl w:ilvl="6" w:tplc="6E1EE0A8" w:tentative="1">
      <w:start w:val="1"/>
      <w:numFmt w:val="decimal"/>
      <w:lvlText w:val="%7."/>
      <w:lvlJc w:val="left"/>
      <w:pPr>
        <w:tabs>
          <w:tab w:val="num" w:pos="5040"/>
        </w:tabs>
        <w:ind w:left="5040" w:hanging="360"/>
      </w:pPr>
    </w:lvl>
    <w:lvl w:ilvl="7" w:tplc="23C6B046" w:tentative="1">
      <w:start w:val="1"/>
      <w:numFmt w:val="decimal"/>
      <w:lvlText w:val="%8."/>
      <w:lvlJc w:val="left"/>
      <w:pPr>
        <w:tabs>
          <w:tab w:val="num" w:pos="5760"/>
        </w:tabs>
        <w:ind w:left="5760" w:hanging="360"/>
      </w:pPr>
    </w:lvl>
    <w:lvl w:ilvl="8" w:tplc="FBF80522" w:tentative="1">
      <w:start w:val="1"/>
      <w:numFmt w:val="decimal"/>
      <w:lvlText w:val="%9."/>
      <w:lvlJc w:val="left"/>
      <w:pPr>
        <w:tabs>
          <w:tab w:val="num" w:pos="6480"/>
        </w:tabs>
        <w:ind w:left="6480" w:hanging="360"/>
      </w:pPr>
    </w:lvl>
  </w:abstractNum>
  <w:abstractNum w:abstractNumId="1">
    <w:nsid w:val="4666085C"/>
    <w:multiLevelType w:val="hybridMultilevel"/>
    <w:tmpl w:val="E2FC84AC"/>
    <w:lvl w:ilvl="0" w:tplc="2EEED89E">
      <w:start w:val="1"/>
      <w:numFmt w:val="decimal"/>
      <w:lvlText w:val="%1."/>
      <w:lvlJc w:val="left"/>
      <w:pPr>
        <w:tabs>
          <w:tab w:val="num" w:pos="720"/>
        </w:tabs>
        <w:ind w:left="720" w:hanging="360"/>
      </w:pPr>
    </w:lvl>
    <w:lvl w:ilvl="1" w:tplc="C986AD8E" w:tentative="1">
      <w:start w:val="1"/>
      <w:numFmt w:val="decimal"/>
      <w:lvlText w:val="%2."/>
      <w:lvlJc w:val="left"/>
      <w:pPr>
        <w:tabs>
          <w:tab w:val="num" w:pos="1440"/>
        </w:tabs>
        <w:ind w:left="1440" w:hanging="360"/>
      </w:pPr>
    </w:lvl>
    <w:lvl w:ilvl="2" w:tplc="94F291AC" w:tentative="1">
      <w:start w:val="1"/>
      <w:numFmt w:val="decimal"/>
      <w:lvlText w:val="%3."/>
      <w:lvlJc w:val="left"/>
      <w:pPr>
        <w:tabs>
          <w:tab w:val="num" w:pos="2160"/>
        </w:tabs>
        <w:ind w:left="2160" w:hanging="360"/>
      </w:pPr>
    </w:lvl>
    <w:lvl w:ilvl="3" w:tplc="EE90CE96" w:tentative="1">
      <w:start w:val="1"/>
      <w:numFmt w:val="decimal"/>
      <w:lvlText w:val="%4."/>
      <w:lvlJc w:val="left"/>
      <w:pPr>
        <w:tabs>
          <w:tab w:val="num" w:pos="2880"/>
        </w:tabs>
        <w:ind w:left="2880" w:hanging="360"/>
      </w:pPr>
    </w:lvl>
    <w:lvl w:ilvl="4" w:tplc="D1880BE0" w:tentative="1">
      <w:start w:val="1"/>
      <w:numFmt w:val="decimal"/>
      <w:lvlText w:val="%5."/>
      <w:lvlJc w:val="left"/>
      <w:pPr>
        <w:tabs>
          <w:tab w:val="num" w:pos="3600"/>
        </w:tabs>
        <w:ind w:left="3600" w:hanging="360"/>
      </w:pPr>
    </w:lvl>
    <w:lvl w:ilvl="5" w:tplc="056EA97A" w:tentative="1">
      <w:start w:val="1"/>
      <w:numFmt w:val="decimal"/>
      <w:lvlText w:val="%6."/>
      <w:lvlJc w:val="left"/>
      <w:pPr>
        <w:tabs>
          <w:tab w:val="num" w:pos="4320"/>
        </w:tabs>
        <w:ind w:left="4320" w:hanging="360"/>
      </w:pPr>
    </w:lvl>
    <w:lvl w:ilvl="6" w:tplc="5100E0C4" w:tentative="1">
      <w:start w:val="1"/>
      <w:numFmt w:val="decimal"/>
      <w:lvlText w:val="%7."/>
      <w:lvlJc w:val="left"/>
      <w:pPr>
        <w:tabs>
          <w:tab w:val="num" w:pos="5040"/>
        </w:tabs>
        <w:ind w:left="5040" w:hanging="360"/>
      </w:pPr>
    </w:lvl>
    <w:lvl w:ilvl="7" w:tplc="426C79F4" w:tentative="1">
      <w:start w:val="1"/>
      <w:numFmt w:val="decimal"/>
      <w:lvlText w:val="%8."/>
      <w:lvlJc w:val="left"/>
      <w:pPr>
        <w:tabs>
          <w:tab w:val="num" w:pos="5760"/>
        </w:tabs>
        <w:ind w:left="5760" w:hanging="360"/>
      </w:pPr>
    </w:lvl>
    <w:lvl w:ilvl="8" w:tplc="0F4E9446"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0360"/>
    <w:rsid w:val="000C3125"/>
    <w:rsid w:val="00700360"/>
    <w:rsid w:val="00F757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2646405">
      <w:bodyDiv w:val="1"/>
      <w:marLeft w:val="0"/>
      <w:marRight w:val="0"/>
      <w:marTop w:val="0"/>
      <w:marBottom w:val="0"/>
      <w:divBdr>
        <w:top w:val="none" w:sz="0" w:space="0" w:color="auto"/>
        <w:left w:val="none" w:sz="0" w:space="0" w:color="auto"/>
        <w:bottom w:val="none" w:sz="0" w:space="0" w:color="auto"/>
        <w:right w:val="none" w:sz="0" w:space="0" w:color="auto"/>
      </w:divBdr>
      <w:divsChild>
        <w:div w:id="1293319201">
          <w:marLeft w:val="360"/>
          <w:marRight w:val="0"/>
          <w:marTop w:val="0"/>
          <w:marBottom w:val="0"/>
          <w:divBdr>
            <w:top w:val="none" w:sz="0" w:space="0" w:color="auto"/>
            <w:left w:val="none" w:sz="0" w:space="0" w:color="auto"/>
            <w:bottom w:val="none" w:sz="0" w:space="0" w:color="auto"/>
            <w:right w:val="none" w:sz="0" w:space="0" w:color="auto"/>
          </w:divBdr>
        </w:div>
        <w:div w:id="46418975">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400</Words>
  <Characters>2283</Characters>
  <Application>Microsoft Office Word</Application>
  <DocSecurity>0</DocSecurity>
  <Lines>19</Lines>
  <Paragraphs>5</Paragraphs>
  <ScaleCrop>false</ScaleCrop>
  <Company/>
  <LinksUpToDate>false</LinksUpToDate>
  <CharactersWithSpaces>2678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 Ciriello</dc:creator>
  <cp:lastModifiedBy>Antonella Ciriello</cp:lastModifiedBy>
  <cp:revision>2</cp:revision>
  <dcterms:created xsi:type="dcterms:W3CDTF">2015-12-19T07:40:00Z</dcterms:created>
  <dcterms:modified xsi:type="dcterms:W3CDTF">2015-12-19T07:40:00Z</dcterms:modified>
</cp:coreProperties>
</file>